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6:30 p.m., Monday May 13, 2013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  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mbria" w:cs="Cambria" w:eastAsia="Cambria" w:hAnsi="Cambria"/>
          <w:b w:val="1"/>
          <w:i w:val="1"/>
          <w:sz w:val="18"/>
          <w:szCs w:val="18"/>
          <w:vertAlign w:val="baseline"/>
          <w:rtl w:val="0"/>
        </w:rPr>
        <w:t xml:space="preserve">Please arrive at the Board meeting at the start time, because the Board reserves the right to change the order of items</w:t>
      </w:r>
      <w:r w:rsidDel="00000000" w:rsidR="00000000" w:rsidRPr="00000000">
        <w:rPr>
          <w:rFonts w:ascii="Cambria" w:cs="Cambria" w:eastAsia="Cambria" w:hAnsi="Cambria"/>
          <w:b w:val="1"/>
          <w:sz w:val="20"/>
          <w:szCs w:val="20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ind w:left="1440" w:right="-18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 A.      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B.      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53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C.      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Student Council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McCook Elementary PTO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Recognition of Kelsey Siebrandt, Student Member of the Board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Larry Young – Sodexho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Junior High Presentation on Assessment Data Analysis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Board accepts public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right="-180"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890" w:right="-18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Approval of Expenditures/Payroll for April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890" w:hanging="36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    V.       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  </w:t>
        <w:tab/>
        <w:tab/>
        <w:t xml:space="preserve">          A.   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ab/>
        <w:t xml:space="preserve"> B.   Business Manager Comments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72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1.  Lunch/Breakfast price increase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ab/>
        <w:t xml:space="preserve">  </w:t>
        <w:tab/>
        <w:t xml:space="preserve"> C.   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Accept donation to the FFA Organization from Annette Irwin in memory of her father, Otto Nilsson, Automotive Sales &amp; Service, 414 West B, McCook since 1950 - miscellaneous mechanical parts valued at $37,000.00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Accept donation from Community Health Foundation for AED (Automated External  Defibrillator) and an AED wall cabinet with alarm for the McCook Learning Center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increase in school lunch/breakfast amounts by $.10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Accept Certificated Staff Resignation(s)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contract for Debbie Arp (Elementary Counselor)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contract for Kristen Liechty (McCook Elementary)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contract for Lisa M. Koegh (McCook Elementary)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contract for Brent Wheaton (Junior High)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Social Studies Standards as approved by the Nebraska State Board of Education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firstLine="0"/>
        <w:contextualSpacing w:val="1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 xml:space="preserve">Approve and Re-Adopt Agreement with American Red Cross (emergency facility use)</w:t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u w:val="none"/>
          <w:vertAlign w:val="baseline"/>
          <w:rtl w:val="0"/>
        </w:rPr>
        <w:tab/>
        <w:t xml:space="preserve">  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VII.        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18"/>
          <w:szCs w:val="18"/>
          <w:vertAlign w:val="baseline"/>
          <w:rtl w:val="0"/>
        </w:rPr>
        <w:t xml:space="preserve">VIII.</w:t>
        <w:tab/>
        <w:t xml:space="preserve">  Adjournment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Calibri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890" w:firstLine="153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89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